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383A20" w:rsidRPr="00553966" w:rsidRDefault="0082094B" w:rsidP="0055396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0"/>
          <w:szCs w:val="40"/>
          <w:lang w:eastAsia="ru-RU"/>
        </w:rPr>
      </w:pPr>
      <w:r w:rsidRPr="00553966">
        <w:rPr>
          <w:rFonts w:ascii="Tms Rmn" w:eastAsia="Times New Roman" w:hAnsi="Tms Rmn" w:cs="Tms Rmn"/>
          <w:b/>
          <w:bCs/>
          <w:color w:val="000000"/>
          <w:kern w:val="0"/>
          <w:sz w:val="40"/>
          <w:szCs w:val="40"/>
          <w:lang w:eastAsia="ru-RU"/>
        </w:rPr>
        <w:t>С начала года более 1200 семей обратилось за ежемесячной выплатой из МСК</w:t>
      </w:r>
    </w:p>
    <w:p w:rsid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sz w:val="28"/>
          <w:szCs w:val="28"/>
          <w:lang w:eastAsia="ru-RU"/>
        </w:rPr>
      </w:pPr>
      <w:proofErr w:type="gramStart"/>
      <w:r w:rsidRPr="00383A20"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  <w:t>С 1 января 2020 года</w:t>
      </w: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 ежемесячную выплату из средств материнского капитала (далее ЕПМ) </w:t>
      </w:r>
      <w:r w:rsidRPr="00383A20"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  <w:t>могут получать семьи, в которых среднедушевой доход не превышает двукратную величину прожиточного минимума трудоспособного населения за второй квартал предшествующего года</w:t>
      </w: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 (ранее использовалась </w:t>
      </w:r>
      <w:proofErr w:type="spellStart"/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полуторакратная</w:t>
      </w:r>
      <w:proofErr w:type="spellEnd"/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 величина), также </w:t>
      </w:r>
      <w:r w:rsidRPr="00383A20"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  <w:t xml:space="preserve">выплату семьи могут теперь получать до исполнения ребенку 3-х лет </w:t>
      </w: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(ранее до полутора). </w:t>
      </w:r>
      <w:proofErr w:type="gramEnd"/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При этом </w:t>
      </w:r>
      <w:r w:rsidRPr="00383A20"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  <w:t>заявление подается сначала на выплату до 1 года, затем до 2 лет и затем до 3 лет с предоставлением полного пакета документов</w:t>
      </w: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.</w:t>
      </w:r>
    </w:p>
    <w:p w:rsid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  <w:t>За II квартал 2019 года</w:t>
      </w: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 данная величина </w:t>
      </w:r>
      <w:r w:rsidRPr="00383A20"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  <w:t>в Санкт-Петербурге составляла -12584 руб. 30 коп, в Ленинградской области - 11646 руб.</w:t>
      </w: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 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При расчете среднедушевого дохода учитываются доходы семьи, полученные в денежной форме за 12 месяцев перед обращением: заработная плата, пенсии, стипендии, алименты, выплаты пенсионных накоплений правопреемникам и другие доходы.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  <w:t>Рассмотрим подсчет доходов на конкретном примере: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В семье, живущей в городе Санкт-Петербург, родился в феврале 2020 г. второй ребенок. В марте родители подают все документы с подтверждением доходов с марта 2019 г. по февраль 2020 г.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Заработки мамы за вышеуказанный период - 360000 руб., папы — 520000 руб., итого 880000 руб. (годовой доход семьи).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880000 руб./12 мес./4 чел. = 18333,3 руб</w:t>
      </w:r>
      <w:proofErr w:type="gramStart"/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.(</w:t>
      </w:r>
      <w:proofErr w:type="gramEnd"/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ежемесячный доход на человека в данной семье).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За II квартал 2019 г. в Санкт-Петербурге прожиточный минимум трудоспособного населения составлял 12584 руб. 30 коп</w:t>
      </w:r>
      <w:proofErr w:type="gramStart"/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., </w:t>
      </w:r>
      <w:proofErr w:type="gramEnd"/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удвоенный размер будет составлять 25 168 руб. 60 коп. Ежемесячный доход на человека в данной семье составляет 18333,3 руб., что значительно меньше удвоенного </w:t>
      </w: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lastRenderedPageBreak/>
        <w:t>прожиточного минимума трудоспособного населения. В таком случае ежемесячная выплата из средств МСК положена.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В случае принятия решения об удовлетворении поданного заявления в 2020 году, размер ЕПМ будет составлять: в Санкт-Петербурге 11176 руб. 20 коп</w:t>
      </w:r>
      <w:proofErr w:type="gramStart"/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 xml:space="preserve">., </w:t>
      </w:r>
      <w:proofErr w:type="gramEnd"/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в Ленинградской области – 10 379 рублей.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b/>
          <w:color w:val="000000"/>
          <w:kern w:val="0"/>
          <w:sz w:val="28"/>
          <w:szCs w:val="28"/>
          <w:lang w:eastAsia="ru-RU"/>
        </w:rPr>
        <w:t>С начала этого года территориальные органы ПФР по Санкт-Петербургу и Ленинградской области приняли более 1200 заявлений на предоставление ежемесячной выплаты из средств материнского капитала по новым правилам.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За прошлый год в городе и области произведено 3700 выплат. Общий объём перечислений на ежемесячные выплаты в адрес семей составил почти 238 миллионов рублей.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  <w:r w:rsidRPr="00383A2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  <w:t>Заявление о получении ежемесячной выплаты можно подать через Личный кабинет на сайте Пенсионного фонда России, а также обратившись в МФЦ или территориальное управление ПФР.</w:t>
      </w:r>
    </w:p>
    <w:p w:rsidR="0082094B" w:rsidRPr="00383A20" w:rsidRDefault="0082094B" w:rsidP="00553966">
      <w:pPr>
        <w:widowControl/>
        <w:suppressAutoHyphens w:val="0"/>
        <w:autoSpaceDE w:val="0"/>
        <w:autoSpaceDN w:val="0"/>
        <w:adjustRightInd w:val="0"/>
        <w:ind w:firstLine="709"/>
        <w:textAlignment w:val="auto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/>
        </w:rPr>
      </w:pP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sectPr w:rsidR="0082094B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7900-120D-4CAA-8EAC-8ED8EFEA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68</cp:revision>
  <cp:lastPrinted>2020-02-28T08:22:00Z</cp:lastPrinted>
  <dcterms:created xsi:type="dcterms:W3CDTF">2017-12-06T08:25:00Z</dcterms:created>
  <dcterms:modified xsi:type="dcterms:W3CDTF">2020-03-04T05:50:00Z</dcterms:modified>
</cp:coreProperties>
</file>