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0867F5" w:rsidRDefault="000867F5" w:rsidP="00086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Карта «МИР»: сроки перехода отложены</w:t>
      </w:r>
    </w:p>
    <w:p w:rsidR="000867F5" w:rsidRDefault="000867F5" w:rsidP="00086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0867F5" w:rsidRDefault="000867F5" w:rsidP="000867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 июля 2020 года должен был завершиться переход клиентов, получающих пенсии и иные социальные выплаты, осуществляемые ПФР, на национальную платёжную систему – карту «МИР».</w:t>
      </w:r>
    </w:p>
    <w:p w:rsidR="000867F5" w:rsidRDefault="000867F5" w:rsidP="000867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 w:rsidR="000867F5" w:rsidRDefault="000867F5" w:rsidP="000867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Visa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»). Оно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1517E2" w:rsidRDefault="000867F5" w:rsidP="000867F5">
      <w:pPr>
        <w:autoSpaceDE w:val="0"/>
        <w:autoSpaceDN w:val="0"/>
        <w:adjustRightInd w:val="0"/>
        <w:spacing w:after="0" w:line="240" w:lineRule="auto"/>
        <w:rPr>
          <w:rFonts w:cs="Tms Rmn"/>
          <w:noProof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</w:rPr>
        <w:t>Кредитным учреждениям (банкам) рекомендована организация дистанционного взаимодействия с клиентами, получающими пенсионные выплаты на счета банковских карт, для выпуска им национальных платёжных инструментов и их доставки клиентам при наличии такой возможности.</w:t>
      </w:r>
    </w:p>
    <w:sectPr w:rsidR="001517E2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867F5"/>
    <w:rsid w:val="001517E2"/>
    <w:rsid w:val="001A1CD1"/>
    <w:rsid w:val="001E4D1F"/>
    <w:rsid w:val="00274513"/>
    <w:rsid w:val="00447BD9"/>
    <w:rsid w:val="00474BA6"/>
    <w:rsid w:val="00621D11"/>
    <w:rsid w:val="00876E3E"/>
    <w:rsid w:val="009606C1"/>
    <w:rsid w:val="00A8546D"/>
    <w:rsid w:val="00BD4C11"/>
    <w:rsid w:val="00CC36FA"/>
    <w:rsid w:val="00D25D87"/>
    <w:rsid w:val="00D7021A"/>
    <w:rsid w:val="00E71C21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2020-05-28T12:38:00Z</dcterms:created>
  <dcterms:modified xsi:type="dcterms:W3CDTF">2020-05-28T12:38:00Z</dcterms:modified>
</cp:coreProperties>
</file>