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16" w:rsidRDefault="00EA1D12" w:rsidP="004E0A1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16" w:rsidRDefault="004E0A16" w:rsidP="004E0A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E0A16" w:rsidRDefault="004E0A16" w:rsidP="004E0A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E0A16" w:rsidRDefault="004E0A16" w:rsidP="004E0A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E0A16" w:rsidRDefault="004E0A16" w:rsidP="004E0A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E0A16" w:rsidRDefault="004E0A16" w:rsidP="004E0A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E0A16" w:rsidRDefault="004E0A16" w:rsidP="004E0A1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4E0A16" w:rsidRPr="003B4C69" w:rsidRDefault="004E0A16" w:rsidP="004E0A1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E0A16" w:rsidRPr="003B4C69" w:rsidRDefault="00497921" w:rsidP="004E0A16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 ноября </w:t>
      </w:r>
      <w:r w:rsidR="004E0A16" w:rsidRPr="003B4C69">
        <w:rPr>
          <w:b/>
          <w:bCs/>
          <w:sz w:val="28"/>
          <w:szCs w:val="28"/>
        </w:rPr>
        <w:t xml:space="preserve"> 201</w:t>
      </w:r>
      <w:r w:rsidR="004E0A16">
        <w:rPr>
          <w:b/>
          <w:bCs/>
          <w:sz w:val="28"/>
          <w:szCs w:val="28"/>
        </w:rPr>
        <w:t>6</w:t>
      </w:r>
      <w:r w:rsidR="004E0A16" w:rsidRPr="003B4C69">
        <w:rPr>
          <w:b/>
          <w:bCs/>
          <w:sz w:val="28"/>
          <w:szCs w:val="28"/>
        </w:rPr>
        <w:t>года</w:t>
      </w:r>
      <w:r w:rsidR="004E0A16" w:rsidRPr="00047FB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</w:t>
      </w:r>
      <w:r w:rsidR="004E0A16" w:rsidRPr="00047FB2">
        <w:rPr>
          <w:b/>
          <w:bCs/>
          <w:sz w:val="28"/>
          <w:szCs w:val="28"/>
        </w:rPr>
        <w:t>                                           </w:t>
      </w:r>
      <w:r w:rsidR="004E0A16" w:rsidRPr="003B4C69">
        <w:rPr>
          <w:b/>
          <w:bCs/>
          <w:sz w:val="28"/>
          <w:szCs w:val="28"/>
        </w:rPr>
        <w:t xml:space="preserve">      </w:t>
      </w:r>
      <w:r w:rsidR="004E0A16" w:rsidRPr="00047FB2">
        <w:rPr>
          <w:b/>
          <w:bCs/>
          <w:sz w:val="28"/>
          <w:szCs w:val="28"/>
        </w:rPr>
        <w:t>   </w:t>
      </w:r>
      <w:r w:rsidR="004E0A16">
        <w:rPr>
          <w:b/>
          <w:bCs/>
          <w:sz w:val="28"/>
          <w:szCs w:val="28"/>
        </w:rPr>
        <w:t xml:space="preserve">       </w:t>
      </w:r>
      <w:r w:rsidR="004E0A16" w:rsidRPr="003B4C69">
        <w:rPr>
          <w:b/>
          <w:bCs/>
          <w:sz w:val="28"/>
          <w:szCs w:val="28"/>
        </w:rPr>
        <w:t xml:space="preserve">      </w:t>
      </w:r>
      <w:r w:rsidR="004E0A16" w:rsidRPr="00047FB2">
        <w:rPr>
          <w:b/>
          <w:bCs/>
          <w:sz w:val="28"/>
          <w:szCs w:val="28"/>
        </w:rPr>
        <w:t> </w:t>
      </w:r>
      <w:r w:rsidR="004E0A16" w:rsidRPr="003B4C69">
        <w:rPr>
          <w:b/>
          <w:bCs/>
          <w:sz w:val="28"/>
          <w:szCs w:val="28"/>
        </w:rPr>
        <w:t xml:space="preserve"> д. Лопухинка</w:t>
      </w:r>
    </w:p>
    <w:p w:rsidR="004E0A16" w:rsidRDefault="004E0A16" w:rsidP="00497921">
      <w:pPr>
        <w:rPr>
          <w:b/>
          <w:sz w:val="28"/>
          <w:szCs w:val="28"/>
        </w:rPr>
      </w:pPr>
    </w:p>
    <w:p w:rsidR="004E0A16" w:rsidRDefault="004E0A16" w:rsidP="004E0A16">
      <w:pPr>
        <w:jc w:val="center"/>
        <w:rPr>
          <w:b/>
          <w:sz w:val="28"/>
          <w:szCs w:val="28"/>
        </w:rPr>
      </w:pPr>
    </w:p>
    <w:p w:rsidR="004E0A16" w:rsidRPr="003B4C69" w:rsidRDefault="004E0A16" w:rsidP="004E0A16">
      <w:pPr>
        <w:jc w:val="center"/>
        <w:rPr>
          <w:b/>
          <w:sz w:val="28"/>
          <w:szCs w:val="28"/>
        </w:rPr>
      </w:pPr>
      <w:r w:rsidRPr="00673740">
        <w:rPr>
          <w:b/>
          <w:sz w:val="28"/>
          <w:szCs w:val="28"/>
        </w:rPr>
        <w:t xml:space="preserve">РЕШЕНИЕ № </w:t>
      </w:r>
      <w:r w:rsidR="00497921">
        <w:rPr>
          <w:b/>
          <w:sz w:val="28"/>
          <w:szCs w:val="28"/>
        </w:rPr>
        <w:t>52</w:t>
      </w:r>
    </w:p>
    <w:p w:rsidR="00314F1E" w:rsidRDefault="00314F1E" w:rsidP="004E0A16">
      <w:pPr>
        <w:jc w:val="both"/>
        <w:rPr>
          <w:b/>
          <w:sz w:val="16"/>
          <w:szCs w:val="16"/>
        </w:rPr>
      </w:pPr>
    </w:p>
    <w:p w:rsidR="00314F1E" w:rsidRDefault="00314F1E" w:rsidP="004E0A1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</w:t>
      </w:r>
      <w:r w:rsidR="004C4D00">
        <w:rPr>
          <w:rFonts w:ascii="Times New Roman" w:hAnsi="Times New Roman" w:cs="Times New Roman"/>
          <w:sz w:val="28"/>
          <w:szCs w:val="28"/>
        </w:rPr>
        <w:t>казённого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4D00">
        <w:rPr>
          <w:rFonts w:ascii="Times New Roman" w:hAnsi="Times New Roman" w:cs="Times New Roman"/>
          <w:sz w:val="28"/>
          <w:szCs w:val="28"/>
        </w:rPr>
        <w:t>«Лопухинский дом культуры»</w:t>
      </w:r>
      <w:r w:rsidR="004C4D00" w:rsidRPr="004C4D00">
        <w:rPr>
          <w:rFonts w:ascii="Times New Roman" w:hAnsi="Times New Roman" w:cs="Times New Roman"/>
          <w:sz w:val="28"/>
          <w:szCs w:val="28"/>
        </w:rPr>
        <w:t xml:space="preserve"> </w:t>
      </w:r>
      <w:r w:rsidR="004C4D00" w:rsidRPr="004D328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="004C4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финансируемого из бюджета муниципального образования </w:t>
      </w:r>
      <w:r w:rsidR="004E0A16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D61C2A" w:rsidRDefault="00D61C2A" w:rsidP="004E0A1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4D00" w:rsidRPr="004C4D00" w:rsidRDefault="00314F1E" w:rsidP="004C4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Ленинградской области от 08.06.2011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 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утверждённого постановлением Правительства Ленинградской области от 15.06.2011 № 173, решением совета депутатов муниципального образования </w:t>
      </w:r>
      <w:r w:rsidR="004E0A16">
        <w:rPr>
          <w:sz w:val="28"/>
          <w:szCs w:val="28"/>
        </w:rPr>
        <w:t>Лопухинское</w:t>
      </w:r>
      <w:r>
        <w:rPr>
          <w:sz w:val="28"/>
          <w:szCs w:val="28"/>
        </w:rPr>
        <w:t xml:space="preserve"> сельское поселение от </w:t>
      </w:r>
      <w:r w:rsidR="004C4D00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4C4D00">
        <w:rPr>
          <w:sz w:val="28"/>
          <w:szCs w:val="28"/>
        </w:rPr>
        <w:t>2</w:t>
      </w:r>
      <w:r>
        <w:rPr>
          <w:sz w:val="28"/>
          <w:szCs w:val="28"/>
        </w:rPr>
        <w:t>.2016 №</w:t>
      </w:r>
      <w:r w:rsidR="004C4D0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4C4D00">
        <w:rPr>
          <w:sz w:val="28"/>
          <w:szCs w:val="28"/>
        </w:rPr>
        <w:t>«</w:t>
      </w:r>
      <w:r w:rsidR="004C4D00" w:rsidRPr="004C4D00">
        <w:rPr>
          <w:sz w:val="28"/>
          <w:szCs w:val="28"/>
        </w:rPr>
        <w:t>Об изменении типа, наименования и внесении изменений в устав Муниципального учреждения культуры клубного типа Дом культуры  д. Глобицы муниципального образования Лопухинское сельское поселение</w:t>
      </w:r>
      <w:r w:rsidR="004C4D00">
        <w:rPr>
          <w:sz w:val="28"/>
          <w:szCs w:val="28"/>
        </w:rPr>
        <w:t>»,</w:t>
      </w:r>
      <w:r w:rsidR="004C4D00" w:rsidRPr="004C4D00">
        <w:rPr>
          <w:sz w:val="28"/>
          <w:szCs w:val="28"/>
        </w:rPr>
        <w:t xml:space="preserve"> </w:t>
      </w:r>
    </w:p>
    <w:p w:rsidR="00314F1E" w:rsidRDefault="00314F1E" w:rsidP="004C4D00">
      <w:pPr>
        <w:pStyle w:val="ConsPlusNormal"/>
        <w:tabs>
          <w:tab w:val="left" w:pos="1276"/>
        </w:tabs>
        <w:autoSpaceDE w:val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C4D0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4F1E" w:rsidRDefault="00314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4F1E" w:rsidRDefault="00314F1E">
      <w:pPr>
        <w:pStyle w:val="ConsPlusTitle"/>
        <w:widowControl/>
        <w:numPr>
          <w:ilvl w:val="0"/>
          <w:numId w:val="5"/>
        </w:numPr>
        <w:shd w:val="clear" w:color="auto" w:fill="FFFFFF"/>
        <w:tabs>
          <w:tab w:val="left" w:pos="0"/>
        </w:tabs>
        <w:spacing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об оплате труда работников </w:t>
      </w:r>
      <w:r w:rsidR="004C4D00" w:rsidRPr="004C4D00">
        <w:rPr>
          <w:rFonts w:ascii="Times New Roman" w:hAnsi="Times New Roman" w:cs="Times New Roman"/>
          <w:b w:val="0"/>
          <w:sz w:val="28"/>
          <w:szCs w:val="28"/>
        </w:rPr>
        <w:t>муниципального казённого учреждения «Лопухинский дом культуры» муниципального образования Лопухинское сельское поселение</w:t>
      </w:r>
      <w:r w:rsidRPr="004C4D0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финансируемого из бюджета муниципального образования </w:t>
      </w:r>
      <w:r w:rsidR="004C4D00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согласно приложению.</w:t>
      </w:r>
    </w:p>
    <w:p w:rsidR="00D61C2A" w:rsidRPr="00937611" w:rsidRDefault="00D61C2A" w:rsidP="00D61C2A">
      <w:pPr>
        <w:numPr>
          <w:ilvl w:val="0"/>
          <w:numId w:val="5"/>
        </w:numPr>
        <w:tabs>
          <w:tab w:val="clear" w:pos="810"/>
          <w:tab w:val="num" w:pos="0"/>
        </w:tabs>
        <w:ind w:left="0" w:firstLine="709"/>
        <w:jc w:val="both"/>
        <w:rPr>
          <w:sz w:val="28"/>
          <w:szCs w:val="28"/>
        </w:rPr>
      </w:pPr>
      <w:r w:rsidRPr="000C7C9E">
        <w:rPr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314F1E" w:rsidRDefault="00314F1E">
      <w:pPr>
        <w:pStyle w:val="ConsPlusTitle"/>
        <w:widowControl/>
        <w:numPr>
          <w:ilvl w:val="0"/>
          <w:numId w:val="5"/>
        </w:numPr>
        <w:shd w:val="clear" w:color="auto" w:fill="FFFFFF"/>
        <w:tabs>
          <w:tab w:val="left" w:pos="0"/>
        </w:tabs>
        <w:spacing w:line="315" w:lineRule="atLeast"/>
        <w:ind w:left="0" w:firstLine="709"/>
        <w:jc w:val="both"/>
        <w:textAlignment w:val="baseline"/>
        <w:rPr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Данное решение вступает в силу со дня его опубликования.</w:t>
      </w:r>
    </w:p>
    <w:p w:rsidR="00314F1E" w:rsidRDefault="00314F1E">
      <w:pPr>
        <w:jc w:val="both"/>
        <w:rPr>
          <w:sz w:val="16"/>
          <w:szCs w:val="16"/>
        </w:rPr>
      </w:pPr>
    </w:p>
    <w:p w:rsidR="00314F1E" w:rsidRDefault="00314F1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14F1E" w:rsidRDefault="00D61C2A">
      <w:pPr>
        <w:jc w:val="both"/>
        <w:rPr>
          <w:sz w:val="28"/>
          <w:szCs w:val="28"/>
        </w:rPr>
      </w:pPr>
      <w:r>
        <w:rPr>
          <w:sz w:val="28"/>
        </w:rPr>
        <w:t>Лопухинское</w:t>
      </w:r>
      <w:r w:rsidR="00314F1E">
        <w:rPr>
          <w:sz w:val="28"/>
        </w:rPr>
        <w:t xml:space="preserve"> сельское поселение            </w:t>
      </w:r>
      <w:r>
        <w:rPr>
          <w:sz w:val="28"/>
        </w:rPr>
        <w:t xml:space="preserve">                            </w:t>
      </w:r>
      <w:r w:rsidR="00314F1E">
        <w:rPr>
          <w:sz w:val="28"/>
        </w:rPr>
        <w:t xml:space="preserve">      </w:t>
      </w:r>
      <w:r>
        <w:rPr>
          <w:sz w:val="28"/>
        </w:rPr>
        <w:t>А.В. Знаменский</w:t>
      </w:r>
    </w:p>
    <w:p w:rsidR="00314F1E" w:rsidRDefault="00314F1E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4F1E" w:rsidRDefault="00314F1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14F1E" w:rsidRDefault="00314F1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61C2A">
        <w:rPr>
          <w:sz w:val="28"/>
          <w:szCs w:val="28"/>
        </w:rPr>
        <w:t xml:space="preserve">Лопухинское </w:t>
      </w:r>
      <w:r>
        <w:rPr>
          <w:sz w:val="28"/>
          <w:szCs w:val="28"/>
        </w:rPr>
        <w:t xml:space="preserve"> сельское поселение</w:t>
      </w:r>
    </w:p>
    <w:p w:rsidR="00314F1E" w:rsidRDefault="00D61C2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921">
        <w:rPr>
          <w:sz w:val="28"/>
          <w:szCs w:val="28"/>
        </w:rPr>
        <w:t xml:space="preserve">24 ноября </w:t>
      </w:r>
      <w:r w:rsidR="00314F1E">
        <w:rPr>
          <w:sz w:val="28"/>
          <w:szCs w:val="28"/>
        </w:rPr>
        <w:t xml:space="preserve">2016 № </w:t>
      </w:r>
      <w:r w:rsidR="00497921">
        <w:rPr>
          <w:sz w:val="28"/>
          <w:szCs w:val="28"/>
        </w:rPr>
        <w:t>52</w:t>
      </w:r>
    </w:p>
    <w:p w:rsidR="00314F1E" w:rsidRDefault="00314F1E">
      <w:pPr>
        <w:ind w:firstLine="540"/>
        <w:jc w:val="right"/>
        <w:rPr>
          <w:sz w:val="28"/>
          <w:szCs w:val="28"/>
        </w:rPr>
      </w:pPr>
    </w:p>
    <w:p w:rsidR="00D61C2A" w:rsidRDefault="00D61C2A" w:rsidP="00D61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D61C2A" w:rsidRDefault="00D61C2A" w:rsidP="007C68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казённого учреждения «Лопухинский дом культуры»</w:t>
      </w:r>
      <w:r w:rsidRPr="004C4D00">
        <w:rPr>
          <w:rFonts w:ascii="Times New Roman" w:hAnsi="Times New Roman" w:cs="Times New Roman"/>
          <w:sz w:val="28"/>
          <w:szCs w:val="28"/>
        </w:rPr>
        <w:t xml:space="preserve"> </w:t>
      </w:r>
      <w:r w:rsidRPr="004D328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финансируемого из бюджета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1C2A" w:rsidRPr="00067742" w:rsidRDefault="00D61C2A" w:rsidP="00D61C2A">
      <w:pPr>
        <w:jc w:val="both"/>
        <w:rPr>
          <w:sz w:val="28"/>
          <w:szCs w:val="28"/>
        </w:rPr>
      </w:pPr>
    </w:p>
    <w:p w:rsidR="00314F1E" w:rsidRDefault="00314F1E">
      <w:pPr>
        <w:pStyle w:val="ac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314F1E" w:rsidRDefault="00314F1E">
      <w:pPr>
        <w:pStyle w:val="ac"/>
        <w:numPr>
          <w:ilvl w:val="0"/>
          <w:numId w:val="4"/>
        </w:numPr>
        <w:spacing w:before="0" w:after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314F1E" w:rsidRDefault="00314F1E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об оплате труда и материальном стимулировании определяет условия оплаты труда работников </w:t>
      </w:r>
      <w:r w:rsidR="00D61C2A">
        <w:rPr>
          <w:sz w:val="28"/>
          <w:szCs w:val="28"/>
        </w:rPr>
        <w:t>муниципального казённого учреждения «Лопухинский дом культуры»</w:t>
      </w:r>
      <w:r w:rsidR="00D61C2A" w:rsidRPr="004C4D0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Учреждение</w:t>
      </w:r>
      <w:r w:rsidR="00D61C2A">
        <w:rPr>
          <w:bCs/>
          <w:sz w:val="28"/>
          <w:szCs w:val="28"/>
        </w:rPr>
        <w:t>)</w:t>
      </w:r>
      <w:r w:rsidR="00D61C2A" w:rsidRPr="00D61C2A">
        <w:rPr>
          <w:sz w:val="28"/>
          <w:szCs w:val="28"/>
        </w:rPr>
        <w:t xml:space="preserve"> </w:t>
      </w:r>
      <w:r w:rsidR="00D61C2A" w:rsidRPr="004D3280">
        <w:rPr>
          <w:sz w:val="28"/>
          <w:szCs w:val="28"/>
        </w:rPr>
        <w:t>муниципального образования Лопухинское сельское поселение</w:t>
      </w:r>
      <w:r w:rsidR="00D61C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, порядок и критерии начисления работникам персональных стимулирующих выплат (включая премирование персонала), применения иных форм поощрения за труд, установления гарантий и компенсаций работникам, осуществления выплат социального характера (включая материальную помощь).</w:t>
      </w:r>
    </w:p>
    <w:p w:rsidR="00314F1E" w:rsidRDefault="00314F1E">
      <w:pPr>
        <w:pStyle w:val="ac"/>
        <w:keepLines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размеров должностных окладов (окладов, ставок заработной платы для педагогических работников)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314F1E" w:rsidRDefault="00314F1E">
      <w:pPr>
        <w:pStyle w:val="ac"/>
        <w:keepLines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 труда, включая размеры должностных окладов (окладов, ставок заработной платы для педагогических работников) работников, персональные надбавки, являются обязательными для включения в трудовой договор. Трудовые договоры заключаются с работниками работодателем в соответствии с трудовым законодательством, иными нормативно-правовыми актами, содержащими нормы трудового права, локальными правовыми актами, коллективным договором, действующими в Учреждении.</w:t>
      </w:r>
    </w:p>
    <w:p w:rsidR="00314F1E" w:rsidRDefault="00314F1E">
      <w:pPr>
        <w:pStyle w:val="ac"/>
        <w:keepLines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на основании:</w:t>
      </w:r>
    </w:p>
    <w:p w:rsidR="00314F1E" w:rsidRDefault="00314F1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кодекса Российской Федерации;</w:t>
      </w:r>
    </w:p>
    <w:p w:rsidR="00314F1E" w:rsidRDefault="00314F1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утверждённого постановлением Правительства Ленинградской области от 15.06.2011 № 173.</w:t>
      </w:r>
    </w:p>
    <w:p w:rsidR="00314F1E" w:rsidRDefault="00314F1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Ленинградской области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 от 8 июня 2011 года № 32-оз.</w:t>
      </w:r>
    </w:p>
    <w:p w:rsidR="00314F1E" w:rsidRDefault="00314F1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Месячная заработная плата работника не может быть ниже размера минимальной заработной платы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14F1E" w:rsidRDefault="00314F1E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оплаты труда работников, предусматривающие стимулирующие, в том числе премиальные, выплаты,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областными законами, нормативно-правовыми актами органов местного самоуправления, настоящим Положением.</w:t>
      </w:r>
    </w:p>
    <w:p w:rsidR="00314F1E" w:rsidRDefault="00314F1E">
      <w:pPr>
        <w:pStyle w:val="ad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оплаты труда учреждения включает в себя средства на выплату работникам должностных окладов (окладов, ставок заработной платы для педагогических работников) и стимулирующих выплат.</w:t>
      </w:r>
    </w:p>
    <w:p w:rsidR="00314F1E" w:rsidRDefault="00314F1E">
      <w:pPr>
        <w:pStyle w:val="ad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заработной платы работников включает в себя:</w:t>
      </w:r>
    </w:p>
    <w:p w:rsidR="00314F1E" w:rsidRDefault="00314F1E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оклады (оклады);</w:t>
      </w:r>
    </w:p>
    <w:p w:rsidR="00314F1E" w:rsidRDefault="00314F1E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:rsidR="00314F1E" w:rsidRDefault="00314F1E">
      <w:pPr>
        <w:pStyle w:val="ConsPlusNormal"/>
        <w:numPr>
          <w:ilvl w:val="0"/>
          <w:numId w:val="3"/>
        </w:numPr>
        <w:tabs>
          <w:tab w:val="left" w:pos="28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должностного оклада (оклада) определяются путем умножения расчетной величины на межуровневый коэффициент.</w:t>
      </w:r>
    </w:p>
    <w:p w:rsidR="00314F1E" w:rsidRDefault="00314F1E">
      <w:pPr>
        <w:pStyle w:val="ConsPlusNormal"/>
        <w:numPr>
          <w:ilvl w:val="0"/>
          <w:numId w:val="3"/>
        </w:numPr>
        <w:tabs>
          <w:tab w:val="left" w:pos="28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стимулирующих выплат определяются в пределах фонда оплаты труда с учетом результативности и качества работы работников.</w:t>
      </w:r>
    </w:p>
    <w:p w:rsidR="00314F1E" w:rsidRDefault="00314F1E">
      <w:pPr>
        <w:pStyle w:val="ConsPlusNormal"/>
        <w:numPr>
          <w:ilvl w:val="0"/>
          <w:numId w:val="3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правильность определения размеров заработной платы работников Учреждения несет директор Учреждения.</w:t>
      </w:r>
    </w:p>
    <w:p w:rsidR="00314F1E" w:rsidRDefault="00314F1E">
      <w:pPr>
        <w:pStyle w:val="ConsPlusNormal"/>
        <w:numPr>
          <w:ilvl w:val="0"/>
          <w:numId w:val="3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труда работников, работающих по совместительству, а также на условиях неполного рабочего дня или неполной рабочей недели, производится пропорционально отработанному времени.</w:t>
      </w:r>
    </w:p>
    <w:p w:rsidR="00314F1E" w:rsidRDefault="00314F1E">
      <w:pPr>
        <w:pStyle w:val="ConsPlusNormal"/>
        <w:numPr>
          <w:ilvl w:val="0"/>
          <w:numId w:val="3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размеров заработной платы по основной и по занимаемой, в порядке совместительства, должностям (видам работ), а также за расширение зоны обслуживания производится раздельно по каждой из должностей (виду работ).</w:t>
      </w:r>
    </w:p>
    <w:p w:rsidR="00314F1E" w:rsidRDefault="00314F1E">
      <w:pPr>
        <w:pStyle w:val="ConsPlusNormal"/>
        <w:numPr>
          <w:ilvl w:val="0"/>
          <w:numId w:val="3"/>
        </w:numPr>
        <w:tabs>
          <w:tab w:val="left" w:pos="284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частыми изменениями государственных региональных и муниципальных нормативных актов, регулирующих трудовые отношения, настоящее Положение подлежит уточнению путем внесения в него необходимых изменений и дополнений с появлением соответствующих документов.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Понятия, термины и сокращения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термины, понятия и сокращения: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- работники муниципальных учреждений;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величина – </w:t>
      </w:r>
      <w:r w:rsidRPr="002F75BE">
        <w:rPr>
          <w:sz w:val="28"/>
          <w:szCs w:val="28"/>
        </w:rPr>
        <w:t xml:space="preserve">установленный решением совета депутатов муниципального образования </w:t>
      </w:r>
      <w:r w:rsidR="007A18F2" w:rsidRPr="002F75BE">
        <w:rPr>
          <w:sz w:val="28"/>
          <w:szCs w:val="28"/>
        </w:rPr>
        <w:t xml:space="preserve">Лопухинское </w:t>
      </w:r>
      <w:r w:rsidRPr="002F75BE">
        <w:rPr>
          <w:sz w:val="28"/>
          <w:szCs w:val="28"/>
        </w:rPr>
        <w:t>сельское поселение показатель, который применяется для расчета должностных окладов работников за календарный месяц;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квалифицированные уровни – уровни оплаты труда работников в зависимости от квалификации работника и сложности выполняемой работы;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межуровневые коэффициенты – соотношение между должностными окладами, соответствующими определенным квалификационным уровням, и расчетной величиной;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– выплаты за интенсивность и высокие результаты работы, за качество выполняемых работ, за стаж непрерывной работы, премиальные выплаты по итогам работы;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надбавки - выплаты за квалификационную категорию, за ученое звание и ученую степень по профилю деятельности учреждения, за почетное звание, за отраслевые (ведомственные звания, за спортивные звания);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масштаба управления учреждением – показатель, определяющий масштаб и сложность управления учреждением;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главный распорядитель бюджетных средств, которому подведомственно муниципальное учреждение.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и термины, применяемые в настоящем Положении, но не указанные в части 1 настоящего Положения,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314F1E" w:rsidRDefault="00314F1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Default="00314F1E">
      <w:pPr>
        <w:pStyle w:val="ad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труда по должностным окладам</w:t>
      </w:r>
    </w:p>
    <w:p w:rsidR="00314F1E" w:rsidRDefault="00314F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Основанием для установления должностного оклада работникам является штатное расписание и наличие у работника соответствующей квалификации. Штатное расписание </w:t>
      </w:r>
      <w:r w:rsidRPr="002F75BE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B2676B" w:rsidRPr="002F75BE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МО </w:t>
      </w:r>
      <w:r w:rsidR="00B2676B" w:rsidRPr="002F75BE">
        <w:rPr>
          <w:rFonts w:ascii="Times New Roman" w:hAnsi="Times New Roman"/>
          <w:sz w:val="28"/>
          <w:szCs w:val="28"/>
        </w:rPr>
        <w:t>Лопухинское</w:t>
      </w:r>
      <w:r w:rsidR="00B2676B" w:rsidRPr="002F75B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F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 расчетной величины устанавливается областным законом Ленинградской области об областном бюджете на очередной финансовый год и плановый период и утверждается решением совета депутатов муниципального образования </w:t>
      </w:r>
      <w:r w:rsidR="00E30B65">
        <w:rPr>
          <w:rFonts w:ascii="Times New Roman" w:hAnsi="Times New Roman" w:cs="Times New Roman"/>
          <w:sz w:val="28"/>
          <w:szCs w:val="28"/>
        </w:rPr>
        <w:t>Лопухин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 муниципального образования Ломоносовский муниципальный район  Ленинградской области.</w:t>
      </w:r>
    </w:p>
    <w:p w:rsidR="00314F1E" w:rsidRDefault="00314F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Default="00314F1E">
      <w:pPr>
        <w:pStyle w:val="ad"/>
        <w:shd w:val="clear" w:color="auto" w:fill="FFFFFF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Размеры и порядок установления межуровневых коэффициентов по общеотраслевым и отраслевым профессиям рабочих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Межуровневые коэффициенты для определения размеров окладов: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рабочих, замещающих должности по общеотраслевым профессиям, устанавливаются в размерах согласно приложению 1 к настоящему Положению;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рабочих культуры, искусства и кинематографии устанавливаются в размерах согласно разделу 1 приложения 2 к настоящему Положению.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4F1E" w:rsidRDefault="00314F1E">
      <w:pPr>
        <w:pStyle w:val="ad"/>
        <w:shd w:val="clear" w:color="auto" w:fill="FFFFFF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служащих и особенности оплаты труда отдельных категорий работников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Межуровневые коэффициенты для определения должностных окладов (ставок заработной платы для педагогических работников) работников, указанных в пункте 3.1., устанавливаются в размерах: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общеотраслевым должностям согласно приложению 1 к настоящему Положению;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работников культуры, искусства и кинематографии согласно разделу 2 приложения 2 к настоящему Положению;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работников образования согласно приложения 3 к настоящему Положению;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работников физической культуры и спорта, а также должностям работников подразделений физкультурно-спортивной направленности многопрофильных образовательных учреждений дополнительного образования детей согласно приложения 3 к настоящему Положению.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оформления структуры, штатного состава и штатной численности </w:t>
      </w:r>
      <w:r w:rsidRPr="002F75BE">
        <w:rPr>
          <w:sz w:val="28"/>
          <w:szCs w:val="28"/>
        </w:rPr>
        <w:t xml:space="preserve">Учреждения </w:t>
      </w:r>
      <w:r w:rsidR="00B2676B" w:rsidRPr="002F75BE">
        <w:rPr>
          <w:sz w:val="28"/>
          <w:szCs w:val="28"/>
        </w:rPr>
        <w:t xml:space="preserve">глава местной администрации МО Лопухинское сельское поселение </w:t>
      </w:r>
      <w:r w:rsidRPr="002F75BE">
        <w:rPr>
          <w:sz w:val="28"/>
          <w:szCs w:val="28"/>
        </w:rPr>
        <w:t xml:space="preserve">подписывает штатное расписание. В случаях, предусмотренных настоящим Положением, составляются тарификационные списки педагогических работников, работников культуры и спорта которые подписываются </w:t>
      </w:r>
      <w:r w:rsidR="002F75BE" w:rsidRPr="002F75BE">
        <w:rPr>
          <w:sz w:val="28"/>
          <w:szCs w:val="28"/>
        </w:rPr>
        <w:t>главой местной администрации МО Лопухинское сельское поселение</w:t>
      </w:r>
      <w:r w:rsidRPr="002F75BE">
        <w:rPr>
          <w:sz w:val="28"/>
          <w:szCs w:val="28"/>
        </w:rPr>
        <w:t>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3725" w:rsidRDefault="00314F1E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назначения должностн</w:t>
      </w:r>
      <w:r w:rsidR="00A73725">
        <w:rPr>
          <w:rFonts w:ascii="Times New Roman" w:hAnsi="Times New Roman"/>
          <w:b/>
          <w:sz w:val="28"/>
          <w:szCs w:val="28"/>
        </w:rPr>
        <w:t>ого оклада</w:t>
      </w:r>
      <w:r>
        <w:rPr>
          <w:rFonts w:ascii="Times New Roman" w:hAnsi="Times New Roman"/>
          <w:b/>
          <w:sz w:val="28"/>
          <w:szCs w:val="28"/>
        </w:rPr>
        <w:t xml:space="preserve"> и персональных 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надбавок руководителю учреждения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Размер должностного оклада руководителя учреждения определяется путем умножения расчетной величины на коэффициент масштаба управления и межуровневый коэффициент соответственно.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 стимулирующего характера устанавливаются в соответствии с настоящим Положением.</w:t>
      </w:r>
    </w:p>
    <w:p w:rsidR="00A73725" w:rsidRDefault="00314F1E" w:rsidP="00A737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масштаба управления применяемый для расчета должностного оклада руководителя - директора учреждения – 2,0</w:t>
      </w:r>
      <w:r w:rsidR="00A73725">
        <w:rPr>
          <w:sz w:val="28"/>
          <w:szCs w:val="28"/>
        </w:rPr>
        <w:t>.</w:t>
      </w:r>
    </w:p>
    <w:p w:rsidR="00314F1E" w:rsidRDefault="00314F1E" w:rsidP="00A737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Виды, размеры и порядок установления стимулирующих выплат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  <w:shd w:val="clear" w:color="auto" w:fill="FFFFFF"/>
        </w:rPr>
        <w:t>Работникам учреждения устанавливаются стимулирующие выплаты с учетом следующего перечня: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работы, за интенсивность и высокие результаты работы;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стаж непрерывной работы (стаж работы в учреждении, в отрасли);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персональные надбавки.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6.2. Конкретный перечень стимулирующих выплат, размеры и условия их осуществления устанавливаются приказами по учреждению в пределах фонда оплаты труда. Максимальный размер выплат стимулирующего характера не ограничен.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6.3. При определении размеров выплат стимулирующего характера должно учитываться: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успешное и добросовестное исполнение работником своих обязанностей в соответствующем периоде;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выполнении особо важных работ и мероприятий.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 Период, за который выплачивается премия по итогам работы – месяц, год. Кроме того, премия может выплачиваться в связи с уходом на пенсию. Размер премии не может превышать 200% должностного оклада.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6.6. Экономия фонда оплаты труда может быть направлена на осуществление стимулирующих выплат: на премирование по итогам работы за год, на оказание материальной помощи с обязательным согласованием с главой местной администрации муниципального образования.</w:t>
      </w:r>
    </w:p>
    <w:p w:rsidR="00314F1E" w:rsidRDefault="00314F1E">
      <w:pPr>
        <w:pStyle w:val="ac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6.7. Решение об оказании материальной помощи и ее конкретных размерах принимает руководитель учреждения в соответствии с положением об оплате труда работников учреждения, на основании письменного заявления работника.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В число премируемых могут входить все работники, включая совместителей.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Для основания премирования определены следующие показатели: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контингента занимающихся в секциях и кружках;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отсева, ухода занимающихся в секциях и кружках в течение года;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лауреатов, дипломантов конкурсов различного уровня;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фестивалях, выставках, смотрах;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сдача отчетов и других документов;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организации местных и районных мероприятий;</w:t>
      </w:r>
    </w:p>
    <w:p w:rsidR="00314F1E" w:rsidRDefault="003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выполнение распоряжений.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Руководителю и работникам: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коэффициент за продолжительность непрерывной работы в муниципальных учреждениях в соответствии с видом экономической деятельности учреждения в следующих размерах:</w:t>
      </w: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9"/>
        <w:gridCol w:w="4710"/>
      </w:tblGrid>
      <w:tr w:rsidR="00314F1E">
        <w:trPr>
          <w:trHeight w:val="54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непрерывной работы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 к должностному окладу</w:t>
            </w:r>
          </w:p>
        </w:tc>
      </w:tr>
      <w:tr w:rsidR="00314F1E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314F1E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314F1E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314F1E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4F1E" w:rsidRDefault="00314F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непрерывной работы, дающий право на получение повышающего коэффициента, исчисляется согласно приложению 4 к настоящему Положению.</w:t>
      </w:r>
    </w:p>
    <w:p w:rsidR="00314F1E" w:rsidRDefault="00314F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Персональная надбавка.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надбавка может быть установлена как дополнительная выплата, она может быть постоянной или изменяться.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имеющим почетные звания,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 в размерах: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почетное звание «Народный», «Заслуженный работник культуры» и «Заслуженный деятель искусств» - 30 процентов должностного оклада;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почетное звание «Заслуженный»- 20 процентов должностного оклада;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работника нескольких почетных званий (званий) персональная надбавка персональная надбавка устанавливается по одному из оснований по выбору работника.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имеющим отраслевые (ведомственные), в том числе спортивные звания, 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 деятельности, в размере 10 процентов должностного оклада.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надбавка может устанавливаться руководителем учреждения по согласованию с главой местной администрации и не может превышать более 30 процентов должностного оклада.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Размер премии, доплат и других выплат стимулирующего характера руководителю учреждения согласовываются с главой местной администрации муниципального образования </w:t>
      </w:r>
      <w:r w:rsidR="00CC5502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поселение, остальным работникам определяется руководителем учреждения и оформляется соответствующим приказом руководителя – директора учреждения.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Стимулирующие выплаты выплачиваются в пределах фонда оплаты труда.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 При ухудшении качества работы, снижении результативности труда, низкой наполняемости групп, срыв запланированных мероприятий, невыполнение муниципального задания, нарушение трудовой и финансовой дисциплины сумма ежемесячного премирования, а также сумма экономии фонда оплаты труда учреждения подлежит сокращению по усмотрению главы местной администрации МО </w:t>
      </w:r>
      <w:r w:rsidR="00CC5502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6.15. Размер расчетной величины.</w:t>
      </w:r>
    </w:p>
    <w:p w:rsidR="00314F1E" w:rsidRDefault="00314F1E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для расчета должностных окладов работников за календарный месяц или за выполнение установленной нормы труда (нормы часов работы за ставку) применяется расчетная величина установленная решением совета депутатов муниципального образования </w:t>
      </w:r>
      <w:r w:rsidR="00CC5502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поселение, в соответствии с областными законами Ленинградской области «Об областном бюджете Ленинградской области» на текущий год и </w:t>
      </w:r>
      <w:r>
        <w:rPr>
          <w:rFonts w:ascii="Times New Roman" w:hAnsi="Times New Roman"/>
          <w:sz w:val="28"/>
          <w:szCs w:val="28"/>
        </w:rPr>
        <w:lastRenderedPageBreak/>
        <w:t>от 8 июня 2011 года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области».</w:t>
      </w:r>
    </w:p>
    <w:p w:rsidR="00314F1E" w:rsidRDefault="00314F1E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314F1E" w:rsidRDefault="00314F1E">
      <w:pPr>
        <w:pStyle w:val="ad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установления доплат, надбавок, иных выплат стимулирующего характера должны обоснованно аргументироваться руководителем Учреждения в соответствии с настоящим Положением.</w:t>
      </w:r>
    </w:p>
    <w:p w:rsidR="00314F1E" w:rsidRDefault="00314F1E">
      <w:pPr>
        <w:pStyle w:val="ad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314F1E" w:rsidRDefault="00314F1E">
      <w:pPr>
        <w:pStyle w:val="ad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размеров должностных окладов (окладов, ставок заработной платы для педагогических работников)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314F1E" w:rsidRDefault="00314F1E">
      <w:pPr>
        <w:pStyle w:val="ad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труда, включая размеры должностных окладов (окладов, ставок заработной платы для педагогических работников) работников, персональные надбавки, являются обязательными для включения в трудовой договор.</w:t>
      </w:r>
      <w:r>
        <w:rPr>
          <w:rFonts w:ascii="Times New Roman" w:hAnsi="Times New Roman"/>
          <w:color w:val="000000"/>
          <w:sz w:val="28"/>
          <w:szCs w:val="28"/>
        </w:rPr>
        <w:t xml:space="preserve"> Трудовые договоры заключаются с работниками работодателем в соответствии с трудовым законодательством, иными нормативно-правовыми актами, содержащими нормы трудового права.</w:t>
      </w:r>
    </w:p>
    <w:p w:rsidR="00314F1E" w:rsidRDefault="00314F1E">
      <w:pPr>
        <w:pStyle w:val="ad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Пересмотр данного Положения, отмена его действия, а также внесение всех изменений и дополнений осуществляется решением депутатов совета депутатов муниципального образования </w:t>
      </w:r>
      <w:r w:rsidR="00CC5502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314F1E" w:rsidRDefault="00314F1E">
      <w:pPr>
        <w:pStyle w:val="ad"/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61"/>
        <w:gridCol w:w="4809"/>
      </w:tblGrid>
      <w:tr w:rsidR="00314F1E">
        <w:trPr>
          <w:trHeight w:val="567"/>
        </w:trPr>
        <w:tc>
          <w:tcPr>
            <w:tcW w:w="4761" w:type="dxa"/>
            <w:shd w:val="clear" w:color="auto" w:fill="auto"/>
          </w:tcPr>
          <w:p w:rsidR="00314F1E" w:rsidRDefault="00314F1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314F1E" w:rsidRDefault="00314F1E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314F1E" w:rsidRDefault="00314F1E">
            <w:pPr>
              <w:autoSpaceDE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314F1E" w:rsidRDefault="00314F1E">
      <w:pPr>
        <w:keepNext/>
        <w:jc w:val="center"/>
        <w:rPr>
          <w:sz w:val="28"/>
          <w:szCs w:val="28"/>
        </w:rPr>
      </w:pPr>
      <w:bookmarkStart w:id="0" w:name="_%D0%9C%D0%B5%D0%B6%D1%83%D1%80%D0%BE%D0"/>
      <w:bookmarkEnd w:id="0"/>
      <w:r>
        <w:rPr>
          <w:b/>
          <w:bCs/>
          <w:sz w:val="28"/>
          <w:szCs w:val="28"/>
        </w:rPr>
        <w:t>Межуровневые коэффициенты для определения размеров окладов по общеотраслевым профессиям рабочих</w:t>
      </w:r>
    </w:p>
    <w:tbl>
      <w:tblPr>
        <w:tblW w:w="0" w:type="auto"/>
        <w:tblInd w:w="108" w:type="dxa"/>
        <w:tblLayout w:type="fixed"/>
        <w:tblLook w:val="0000"/>
      </w:tblPr>
      <w:tblGrid>
        <w:gridCol w:w="2818"/>
        <w:gridCol w:w="4447"/>
        <w:gridCol w:w="2064"/>
      </w:tblGrid>
      <w:tr w:rsidR="00314F1E">
        <w:trPr>
          <w:tblHeader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14F1E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14F1E">
        <w:trPr>
          <w:cantSplit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1,0000</w:t>
            </w:r>
          </w:p>
        </w:tc>
      </w:tr>
      <w:tr w:rsidR="00314F1E">
        <w:trPr>
          <w:cantSplit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F1E" w:rsidRDefault="00314F1E">
            <w:pPr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1,0164</w:t>
            </w:r>
          </w:p>
        </w:tc>
      </w:tr>
      <w:tr w:rsidR="00314F1E">
        <w:trPr>
          <w:cantSplit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F1E" w:rsidRDefault="00314F1E">
            <w:pPr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1,0328</w:t>
            </w:r>
          </w:p>
        </w:tc>
      </w:tr>
      <w:tr w:rsidR="00314F1E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«старший»; (старший сторож, старший по смене).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</w:rPr>
              <w:t>1,0492</w:t>
            </w:r>
          </w:p>
        </w:tc>
      </w:tr>
      <w:tr w:rsidR="00314F1E"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14F1E">
        <w:trPr>
          <w:cantSplit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Заведующий архивом; заведующий комнатой отдыха; заведующий складом; заведующий фотолабораторией; заведующий хозяйством.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1,2459</w:t>
            </w:r>
          </w:p>
          <w:p w:rsidR="00314F1E" w:rsidRDefault="00314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F1E" w:rsidRDefault="00314F1E">
      <w:pPr>
        <w:pageBreakBefore/>
        <w:widowControl w:val="0"/>
        <w:autoSpaceDE w:val="0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64"/>
        <w:gridCol w:w="4806"/>
      </w:tblGrid>
      <w:tr w:rsidR="00314F1E">
        <w:tc>
          <w:tcPr>
            <w:tcW w:w="4764" w:type="dxa"/>
            <w:shd w:val="clear" w:color="auto" w:fill="auto"/>
          </w:tcPr>
          <w:p w:rsidR="00314F1E" w:rsidRDefault="00314F1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314F1E" w:rsidRDefault="00314F1E">
            <w:pPr>
              <w:autoSpaceDE w:val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14F1E" w:rsidRDefault="00314F1E">
            <w:pPr>
              <w:widowControl w:val="0"/>
              <w:autoSpaceDE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</w:t>
            </w:r>
          </w:p>
        </w:tc>
      </w:tr>
    </w:tbl>
    <w:p w:rsidR="00314F1E" w:rsidRDefault="00314F1E">
      <w:pPr>
        <w:keepNext/>
        <w:jc w:val="center"/>
        <w:rPr>
          <w:sz w:val="28"/>
          <w:szCs w:val="28"/>
        </w:rPr>
      </w:pPr>
      <w:bookmarkStart w:id="1" w:name="_1._%D0%9C%D0%B5%D0%B6%D1%83%D1%80%D0%BE"/>
      <w:r>
        <w:rPr>
          <w:b/>
          <w:bCs/>
          <w:sz w:val="28"/>
          <w:szCs w:val="28"/>
        </w:rPr>
        <w:t>1. Межуровневые коэффициенты для определения окладов по должностям рабочих культуры, искусства и кинематографии</w:t>
      </w:r>
    </w:p>
    <w:tbl>
      <w:tblPr>
        <w:tblW w:w="0" w:type="auto"/>
        <w:tblInd w:w="108" w:type="dxa"/>
        <w:tblLayout w:type="fixed"/>
        <w:tblLook w:val="0000"/>
      </w:tblPr>
      <w:tblGrid>
        <w:gridCol w:w="2834"/>
        <w:gridCol w:w="4394"/>
        <w:gridCol w:w="2138"/>
      </w:tblGrid>
      <w:tr w:rsidR="00314F1E">
        <w:trPr>
          <w:tblHeader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14F1E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кинотехнологического оборудования 8 разряда ЕТКС; оператор видеозаписи 8 разряда ЕТКС.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1,2803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 квалификационный уровень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1,3689</w:t>
            </w:r>
          </w:p>
        </w:tc>
      </w:tr>
    </w:tbl>
    <w:p w:rsidR="00314F1E" w:rsidRDefault="00314F1E">
      <w:pPr>
        <w:keepLines/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</w:p>
    <w:p w:rsidR="00314F1E" w:rsidRDefault="00314F1E">
      <w:pPr>
        <w:keepNext/>
        <w:jc w:val="center"/>
        <w:rPr>
          <w:sz w:val="28"/>
          <w:szCs w:val="28"/>
        </w:rPr>
      </w:pPr>
      <w:bookmarkStart w:id="2" w:name="_2._%D0%9C%D0%B5%D0%B6%D1%83%D1%80%D0%BE"/>
      <w:bookmarkEnd w:id="2"/>
      <w:r>
        <w:rPr>
          <w:b/>
          <w:bCs/>
          <w:sz w:val="28"/>
          <w:szCs w:val="28"/>
        </w:rPr>
        <w:t>2. Межуровневые коэффициенты для определения должностных окладов по должностям работников культуры, искусства и кинематографии</w:t>
      </w:r>
    </w:p>
    <w:tbl>
      <w:tblPr>
        <w:tblW w:w="0" w:type="auto"/>
        <w:tblInd w:w="108" w:type="dxa"/>
        <w:tblLayout w:type="fixed"/>
        <w:tblLook w:val="0000"/>
      </w:tblPr>
      <w:tblGrid>
        <w:gridCol w:w="7161"/>
        <w:gridCol w:w="2115"/>
      </w:tblGrid>
      <w:tr w:rsidR="00314F1E">
        <w:trPr>
          <w:tblHeader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14F1E"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</w:tr>
      <w:tr w:rsidR="00314F1E"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 вспомогательного состава театров и концертных организаций; контролер билетов; смотритель музейный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1,2049</w:t>
            </w:r>
          </w:p>
        </w:tc>
      </w:tr>
      <w:tr w:rsidR="00314F1E"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314F1E"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интересам; аккомпаниатор; культорганизатор; ассистенты: режиссера, дирижера, балетмейстера, хормейстера; помощник режиссера; мастер участка ремонта и реставрации фильмофонда.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1,2803</w:t>
            </w:r>
          </w:p>
        </w:tc>
      </w:tr>
      <w:tr w:rsidR="00314F1E"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«Должности работников </w:t>
            </w:r>
            <w:r>
              <w:rPr>
                <w:sz w:val="28"/>
                <w:szCs w:val="28"/>
              </w:rPr>
              <w:lastRenderedPageBreak/>
              <w:t>культуры, искусства и кинематографии ведущего звена»</w:t>
            </w:r>
          </w:p>
        </w:tc>
      </w:tr>
      <w:tr w:rsidR="00314F1E"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балету, аккомпаниатор-концертмейстер; администратор (старший администратор); библиограф; библиотекарь; 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оркестра, оркестра народных инструментов; артист эстрадного оркестра (ансамбля); артист балета ансамбля песни и танца, танцевального коллектива; артист оркестра ансамблей песни и танца;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учетно-хранительской документации; специалист экспозиционного и выставочного отдела; звукооператор; монтажер; редактор по репертуару; редактор библиотеки; редактор музея; редактор научно-методического центра народного творчества, дома народного творчества, центра народной культуры (культуры и досуга и других аналогичных учреждений и организаций.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1,7541</w:t>
            </w:r>
          </w:p>
        </w:tc>
      </w:tr>
      <w:tr w:rsidR="00314F1E"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314F1E"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балетмейстер; главный хормейстер; главный художник; режиссер-постановщик; балетмейстер-</w:t>
            </w:r>
            <w:r>
              <w:rPr>
                <w:sz w:val="28"/>
                <w:szCs w:val="28"/>
              </w:rPr>
              <w:lastRenderedPageBreak/>
              <w:t>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 любительского объединения, студии, коллектива самодеятельного искусства, клуба по интересам.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1,8525</w:t>
            </w:r>
          </w:p>
        </w:tc>
      </w:tr>
    </w:tbl>
    <w:p w:rsidR="00314F1E" w:rsidRDefault="00314F1E">
      <w:pPr>
        <w:pageBreakBefore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64"/>
        <w:gridCol w:w="4806"/>
      </w:tblGrid>
      <w:tr w:rsidR="00314F1E">
        <w:tc>
          <w:tcPr>
            <w:tcW w:w="4764" w:type="dxa"/>
            <w:shd w:val="clear" w:color="auto" w:fill="auto"/>
          </w:tcPr>
          <w:p w:rsidR="00314F1E" w:rsidRDefault="00314F1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314F1E" w:rsidRDefault="00314F1E">
            <w:pPr>
              <w:autoSpaceDE w:val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14F1E" w:rsidRDefault="00314F1E">
            <w:pPr>
              <w:widowControl w:val="0"/>
              <w:autoSpaceDE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</w:t>
            </w:r>
          </w:p>
        </w:tc>
      </w:tr>
    </w:tbl>
    <w:bookmarkEnd w:id="1"/>
    <w:p w:rsidR="00314F1E" w:rsidRDefault="00314F1E">
      <w:pPr>
        <w:keepNext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Межуровневые коэффициенты для определения должностных окладов (ставок заработной платы) по должностям работников физической культуры и спорта</w:t>
      </w:r>
    </w:p>
    <w:tbl>
      <w:tblPr>
        <w:tblW w:w="0" w:type="auto"/>
        <w:tblInd w:w="108" w:type="dxa"/>
        <w:tblLayout w:type="fixed"/>
        <w:tblLook w:val="0000"/>
      </w:tblPr>
      <w:tblGrid>
        <w:gridCol w:w="2834"/>
        <w:gridCol w:w="4468"/>
        <w:gridCol w:w="2064"/>
      </w:tblGrid>
      <w:tr w:rsidR="00314F1E">
        <w:trPr>
          <w:tblHeader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Межуровневые коэффициенты</w:t>
            </w:r>
          </w:p>
        </w:tc>
      </w:tr>
      <w:tr w:rsidR="00314F1E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Дежурный по спортивному залу; механик по техническим видам спорта; техник по эксплуатации и ремонту спортивной техники.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1,2049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Спортивный судья; спортсмен.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1,2803</w:t>
            </w:r>
          </w:p>
        </w:tc>
      </w:tr>
      <w:tr w:rsidR="00314F1E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Инструктор по спорту; инструктор по физической культуре; спортсмен-инструктор; тренер-администратор; тренер-массажист; тренер-механик; тренер - оператор видеозаписи.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1,3689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Инструктор-методист по адаптивной физической культуре; инструктор-методист физкультурно-спортивных организаций; тренер; тренер-ветеринар; тренер-преподаватель по спорту; хореограф.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1,4590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Старшие: инструктор-методист по адаптивной физической культуре, инструктор-методист физкультурно-спортивных организаций, тренер - преподаватель по спорту.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1,5574</w:t>
            </w:r>
          </w:p>
        </w:tc>
      </w:tr>
      <w:tr w:rsidR="00314F1E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Специалист по подготовке сборных команд; тренер-врач; тренер-инженер; тренер сборной команды.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1,1940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Старший тренер сборной команды.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1,6557</w:t>
            </w:r>
          </w:p>
        </w:tc>
      </w:tr>
      <w:tr w:rsidR="00314F1E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314F1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1E" w:rsidRDefault="00314F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Главный тренер сборной команды; государственный тренер; начальник сборной команды.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1E" w:rsidRDefault="00314F1E">
            <w:pPr>
              <w:jc w:val="center"/>
              <w:rPr>
                <w:rStyle w:val="s1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1,7000</w:t>
            </w:r>
          </w:p>
        </w:tc>
      </w:tr>
    </w:tbl>
    <w:p w:rsidR="00314F1E" w:rsidRDefault="00314F1E">
      <w:pPr>
        <w:pageBreakBefore/>
        <w:jc w:val="right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lastRenderedPageBreak/>
        <w:t>Приложение 4</w:t>
      </w:r>
    </w:p>
    <w:p w:rsidR="00314F1E" w:rsidRDefault="00314F1E">
      <w:pPr>
        <w:pStyle w:val="p6"/>
        <w:shd w:val="clear" w:color="auto" w:fill="FFFFFF"/>
        <w:spacing w:before="0" w:after="0"/>
        <w:jc w:val="right"/>
      </w:pPr>
      <w:r>
        <w:rPr>
          <w:rStyle w:val="s1"/>
          <w:bCs/>
          <w:sz w:val="28"/>
          <w:szCs w:val="28"/>
        </w:rPr>
        <w:t>к Положению</w:t>
      </w:r>
    </w:p>
    <w:p w:rsidR="00314F1E" w:rsidRDefault="00314F1E">
      <w:pPr>
        <w:pStyle w:val="p1"/>
        <w:shd w:val="clear" w:color="auto" w:fill="FFFFFF"/>
        <w:spacing w:before="0" w:after="0"/>
        <w:jc w:val="center"/>
      </w:pPr>
    </w:p>
    <w:p w:rsidR="00314F1E" w:rsidRDefault="00314F1E">
      <w:pPr>
        <w:pStyle w:val="p1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Порядок исчисления стажа непрерывной работы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стаж непрерывной работы, дающий работникам </w:t>
      </w:r>
      <w:r w:rsidR="00CC5502">
        <w:rPr>
          <w:sz w:val="28"/>
          <w:szCs w:val="28"/>
        </w:rPr>
        <w:t>муниципального казённого учреждения «Лопухинский дом культуры»</w:t>
      </w:r>
      <w:r w:rsidR="00CC5502" w:rsidRPr="004C4D00">
        <w:rPr>
          <w:sz w:val="28"/>
          <w:szCs w:val="28"/>
        </w:rPr>
        <w:t xml:space="preserve"> </w:t>
      </w:r>
      <w:r w:rsidR="00CC5502" w:rsidRPr="004D3280">
        <w:rPr>
          <w:sz w:val="28"/>
          <w:szCs w:val="28"/>
        </w:rPr>
        <w:t>муниципального образования Лопухинское сельское поселение</w:t>
      </w:r>
      <w:r>
        <w:rPr>
          <w:sz w:val="28"/>
          <w:szCs w:val="28"/>
        </w:rPr>
        <w:t>, право на получение превышающего коэффициента для ежемесячной надбавки, засчитывается: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Время не прерывной работы в государственных и муниципальных учреждениях в соответствии с видом экономической деятельности учреждения, как по основной, так и по совмещаемой должности.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Периоды работы при условии, если им непосредственно следовала работа, дающая право на надбавку: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учебы на курсах совершенствования или повышения квалификации по специальности;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на выборных должностях в органах законодательной и исполнительной власти, профсоюзных органах;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когда работник фактически не работал, но за ним сохранялись место работы (должность) и заработная плата полностью или частично;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когда работник не работал, но сохранял за собой место работы (должность) и получал пособие по государственному социальному страхованию;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в отпуске без сохранения заработной платы по уходу за ребенком по достижении им трёх лет.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Стаж работы, дающий право на получение ежемесячной надбавки за продолжительность непрерывной работы, сохраняется при поступлении на работу в учреждения в соответствии с видом экономической деятельности учреждения при отсутствии во время перерыва другой работы в следующих случаях: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Не позднее одного месяца: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увольнения по собственному желанию;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научной или педагогической деятельности, которая непосредственно следовала за работой в учреждениях в соответствии с видом экономической деятельности муниципального учреждения;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увольнения из органов управления (в соответствии с видом экономической деятельности муниципального учреждения), комитетов профсоюзов работников (в соответствии с видом экономической деятельности муниципального учреждения).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Не позднее двух месяцев: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увольнения из учреждений в соответствии с видом экономической деятельности муниципального учреждения;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обусловленного трудовым договором срока работы в районах Крайнего Севера и приравненных к ним местностях;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возращения с работы в учреждениях Российской Федерации за границей или международных организациях в качестве специалистов по оказанию помощи другим государствам, если работе за границей непосредственно предшествовала работа в учреждениях в соответствии с видом экономической деятельности муниципального учреждения.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позднее трех месяцев: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высшего, среднего специального учебного заведения, аспирантуры;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увольнения в связи с ликвидацией (реорганизацией) учреждения, сокращением штатов;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считая времени переезда со дня увольнения с военной службы военнослужащих, если службе непосредственно предшествовала работа в учреждениях в соответствии с видом экономической деятельности муниципального учреждения.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Не позднее шести месяцев: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увольнения в связи с ликвидацией (реорганизацией) учреждения в районах Крайнего Севера и приравненных к ним местностях.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Стаж работы, дающий право на ежемесячную надбавку за продолжительность непрерывной работы, сохраняется независимо от продолжительности перерыва на работе при условии, если перерыву непосредственно предшествовала работа в учреждения в соответствии с видом экономической деятельности муниципального учреждения, следующим лицам: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эвакуируемым или выезжающим в добровольном порядке из зон радиоактивного загрязнения;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получающим пособие по безработице, стипендию в период профессиональной подготовки (переподготовки) по направлению органов по труду и занятости населения;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принимающим участие в оплачиваемых общественных работах с учетом времени, необходимого для переезда по направлению службы занятости населения в другую местность и трудоустройства;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пенсионерам, получающим государственную пенсию по старости, инвалидности или за выслугу лет;</w:t>
      </w:r>
    </w:p>
    <w:p w:rsidR="00314F1E" w:rsidRDefault="00314F1E">
      <w:pPr>
        <w:pStyle w:val="p3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женам (мужьям) военнослужащих (лиц рядового и начальствующего состава органов внутренних дел), увольняющихся с работы по собственному желанию из учреждения в соответствии с видом экономической деятельности муниципального учреждения, в связи с переводом мужа (жены) военнослужащего в другую местность или переездом мужа (жены) в связи с увольнением с военной службы (из органов внутренних дел).</w:t>
      </w:r>
    </w:p>
    <w:sectPr w:rsidR="00314F1E">
      <w:pgSz w:w="11906" w:h="16838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2">
    <w:nsid w:val="00000003"/>
    <w:multiLevelType w:val="singleLevel"/>
    <w:tmpl w:val="73E211B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4">
    <w:nsid w:val="00000005"/>
    <w:multiLevelType w:val="singleLevel"/>
    <w:tmpl w:val="8DE8971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0A16"/>
    <w:rsid w:val="002F75BE"/>
    <w:rsid w:val="00314F1E"/>
    <w:rsid w:val="00497921"/>
    <w:rsid w:val="004C4D00"/>
    <w:rsid w:val="004E0A16"/>
    <w:rsid w:val="007A18F2"/>
    <w:rsid w:val="007C6827"/>
    <w:rsid w:val="00975E1A"/>
    <w:rsid w:val="00A73725"/>
    <w:rsid w:val="00B2676B"/>
    <w:rsid w:val="00C621DB"/>
    <w:rsid w:val="00CC5502"/>
    <w:rsid w:val="00D61C2A"/>
    <w:rsid w:val="00E30B65"/>
    <w:rsid w:val="00EA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 w:hanging="1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/>
      <w:sz w:val="24"/>
      <w:szCs w:val="24"/>
    </w:rPr>
  </w:style>
  <w:style w:type="character" w:customStyle="1" w:styleId="WW8Num10z0">
    <w:name w:val="WW8Num10z0"/>
    <w:rPr>
      <w:sz w:val="28"/>
    </w:rPr>
  </w:style>
  <w:style w:type="character" w:customStyle="1" w:styleId="WW8Num12z0">
    <w:name w:val="WW8Num12z0"/>
    <w:rPr>
      <w:b w:val="0"/>
      <w:sz w:val="28"/>
      <w:szCs w:val="28"/>
    </w:rPr>
  </w:style>
  <w:style w:type="character" w:customStyle="1" w:styleId="WW8Num13z0">
    <w:name w:val="WW8Num13z0"/>
    <w:rPr>
      <w:b w:val="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character" w:styleId="a4">
    <w:name w:val="Strong"/>
    <w:basedOn w:val="10"/>
    <w:qFormat/>
    <w:rPr>
      <w:b/>
      <w:bCs/>
    </w:rPr>
  </w:style>
  <w:style w:type="character" w:customStyle="1" w:styleId="s1">
    <w:name w:val="s1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3">
    <w:name w:val="s_3"/>
    <w:basedOn w:val="a"/>
    <w:pPr>
      <w:spacing w:before="100" w:after="100"/>
    </w:pPr>
  </w:style>
  <w:style w:type="paragraph" w:customStyle="1" w:styleId="s10">
    <w:name w:val="s_1"/>
    <w:basedOn w:val="a"/>
    <w:pPr>
      <w:spacing w:before="100" w:after="100"/>
    </w:pPr>
  </w:style>
  <w:style w:type="paragraph" w:customStyle="1" w:styleId="headertext">
    <w:name w:val="headertext"/>
    <w:basedOn w:val="a"/>
    <w:pPr>
      <w:spacing w:before="100" w:after="100"/>
    </w:pPr>
  </w:style>
  <w:style w:type="paragraph" w:customStyle="1" w:styleId="formattext">
    <w:name w:val="formattext"/>
    <w:basedOn w:val="a"/>
    <w:pPr>
      <w:spacing w:before="100" w:after="10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Normal (Web)"/>
    <w:basedOn w:val="a"/>
    <w:pPr>
      <w:spacing w:before="100" w:after="100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3">
    <w:name w:val="p3"/>
    <w:basedOn w:val="a"/>
    <w:pPr>
      <w:spacing w:before="100" w:after="100"/>
    </w:pPr>
  </w:style>
  <w:style w:type="paragraph" w:customStyle="1" w:styleId="p1">
    <w:name w:val="p1"/>
    <w:basedOn w:val="a"/>
    <w:pPr>
      <w:spacing w:before="100" w:after="100"/>
    </w:pPr>
  </w:style>
  <w:style w:type="paragraph" w:customStyle="1" w:styleId="p6">
    <w:name w:val="p6"/>
    <w:basedOn w:val="a"/>
    <w:pPr>
      <w:spacing w:before="100" w:after="10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f0">
    <w:name w:val="Цветовое выделение"/>
    <w:uiPriority w:val="99"/>
    <w:rsid w:val="00D61C2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Даша</cp:lastModifiedBy>
  <cp:revision>2</cp:revision>
  <cp:lastPrinted>2015-02-05T19:36:00Z</cp:lastPrinted>
  <dcterms:created xsi:type="dcterms:W3CDTF">2016-11-29T08:31:00Z</dcterms:created>
  <dcterms:modified xsi:type="dcterms:W3CDTF">2016-11-29T08:31:00Z</dcterms:modified>
</cp:coreProperties>
</file>